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20" w:rsidRDefault="004B5599" w:rsidP="00940F20">
      <w:pPr>
        <w:jc w:val="both"/>
        <w:rPr>
          <w:bCs/>
          <w:sz w:val="20"/>
          <w:szCs w:val="20"/>
        </w:rPr>
      </w:pPr>
      <w:r>
        <w:rPr>
          <w:bCs/>
          <w:sz w:val="20"/>
          <w:szCs w:val="20"/>
        </w:rPr>
        <w:t>Université des Frères Mentouri  Constantine1                                                      Enseignante  responsable</w:t>
      </w:r>
      <w:r w:rsidR="00940F20">
        <w:rPr>
          <w:bCs/>
          <w:sz w:val="20"/>
          <w:szCs w:val="20"/>
        </w:rPr>
        <w:t> :</w:t>
      </w:r>
    </w:p>
    <w:p w:rsidR="00940F20" w:rsidRDefault="00940F20" w:rsidP="00940F20">
      <w:pPr>
        <w:jc w:val="both"/>
        <w:rPr>
          <w:bCs/>
          <w:sz w:val="20"/>
          <w:szCs w:val="20"/>
        </w:rPr>
      </w:pPr>
      <w:r>
        <w:rPr>
          <w:bCs/>
          <w:sz w:val="20"/>
          <w:szCs w:val="20"/>
        </w:rPr>
        <w:t>Faculté des sciences de la nature et de la vie                                                               MEZIANI  Meriem</w:t>
      </w:r>
    </w:p>
    <w:p w:rsidR="00940F20" w:rsidRDefault="00940F20" w:rsidP="00940F20">
      <w:pPr>
        <w:jc w:val="both"/>
        <w:rPr>
          <w:bCs/>
          <w:sz w:val="20"/>
          <w:szCs w:val="20"/>
        </w:rPr>
      </w:pPr>
      <w:r>
        <w:rPr>
          <w:bCs/>
          <w:sz w:val="20"/>
          <w:szCs w:val="20"/>
        </w:rPr>
        <w:t xml:space="preserve">Département de Microbiologie                                                                                    </w:t>
      </w:r>
    </w:p>
    <w:p w:rsidR="00940F20" w:rsidRPr="00CE3493" w:rsidRDefault="00940F20" w:rsidP="00940F20">
      <w:pPr>
        <w:jc w:val="both"/>
        <w:rPr>
          <w:b/>
          <w:sz w:val="20"/>
          <w:szCs w:val="20"/>
        </w:rPr>
      </w:pPr>
      <w:r>
        <w:rPr>
          <w:bCs/>
          <w:sz w:val="20"/>
          <w:szCs w:val="20"/>
        </w:rPr>
        <w:t>Filièr</w:t>
      </w:r>
      <w:r w:rsidR="000866E8">
        <w:rPr>
          <w:bCs/>
          <w:sz w:val="20"/>
          <w:szCs w:val="20"/>
        </w:rPr>
        <w:t>e </w:t>
      </w:r>
      <w:r w:rsidR="000866E8" w:rsidRPr="00CE3493">
        <w:rPr>
          <w:b/>
          <w:sz w:val="20"/>
          <w:szCs w:val="20"/>
        </w:rPr>
        <w:t xml:space="preserve">: M1  Mycologie et Biotechnologie Fongique </w:t>
      </w:r>
    </w:p>
    <w:p w:rsidR="00940F20" w:rsidRDefault="00940F20" w:rsidP="00940F20">
      <w:pPr>
        <w:jc w:val="both"/>
        <w:rPr>
          <w:bCs/>
          <w:sz w:val="20"/>
          <w:szCs w:val="20"/>
        </w:rPr>
      </w:pPr>
      <w:r>
        <w:rPr>
          <w:bCs/>
          <w:sz w:val="20"/>
          <w:szCs w:val="20"/>
        </w:rPr>
        <w:t>Matière : Génétique moléculaire des microorganismes.</w:t>
      </w:r>
    </w:p>
    <w:p w:rsidR="00940F20" w:rsidRDefault="00C352ED" w:rsidP="00940F20">
      <w:pPr>
        <w:jc w:val="both"/>
        <w:rPr>
          <w:bCs/>
          <w:sz w:val="20"/>
          <w:szCs w:val="20"/>
        </w:rPr>
      </w:pPr>
      <w:r>
        <w:rPr>
          <w:bCs/>
          <w:sz w:val="20"/>
          <w:szCs w:val="20"/>
        </w:rPr>
        <w:t>Année universitaire : 2019-2020</w:t>
      </w:r>
    </w:p>
    <w:p w:rsidR="00940F20" w:rsidRDefault="00940F20" w:rsidP="00940F20">
      <w:pPr>
        <w:jc w:val="center"/>
        <w:rPr>
          <w:sz w:val="20"/>
          <w:szCs w:val="20"/>
        </w:rPr>
      </w:pPr>
    </w:p>
    <w:p w:rsidR="002D2615" w:rsidRDefault="00940F20">
      <w:r>
        <w:t xml:space="preserve"> </w:t>
      </w:r>
    </w:p>
    <w:p w:rsidR="002D2615" w:rsidRDefault="002D2615" w:rsidP="002D2615"/>
    <w:p w:rsidR="005F681C" w:rsidRDefault="002D2615" w:rsidP="002D2615">
      <w:pPr>
        <w:tabs>
          <w:tab w:val="left" w:pos="2940"/>
        </w:tabs>
        <w:jc w:val="center"/>
        <w:rPr>
          <w:b/>
          <w:bCs/>
          <w:sz w:val="28"/>
          <w:szCs w:val="28"/>
        </w:rPr>
      </w:pPr>
      <w:r w:rsidRPr="002D2615">
        <w:rPr>
          <w:b/>
          <w:bCs/>
          <w:sz w:val="28"/>
          <w:szCs w:val="28"/>
        </w:rPr>
        <w:t xml:space="preserve">TP2 : </w:t>
      </w:r>
      <w:r w:rsidR="000C04E8" w:rsidRPr="002D2615">
        <w:rPr>
          <w:b/>
          <w:bCs/>
          <w:sz w:val="28"/>
          <w:szCs w:val="28"/>
        </w:rPr>
        <w:t>Effet</w:t>
      </w:r>
      <w:r w:rsidR="000C04E8">
        <w:rPr>
          <w:b/>
          <w:bCs/>
          <w:sz w:val="28"/>
          <w:szCs w:val="28"/>
        </w:rPr>
        <w:t xml:space="preserve"> d</w:t>
      </w:r>
      <w:r w:rsidRPr="002D2615">
        <w:rPr>
          <w:b/>
          <w:bCs/>
          <w:sz w:val="28"/>
          <w:szCs w:val="28"/>
        </w:rPr>
        <w:t>es rayonnements UV sur la croissance des levures</w:t>
      </w:r>
    </w:p>
    <w:p w:rsidR="005F681C" w:rsidRDefault="005F681C" w:rsidP="005F681C">
      <w:pPr>
        <w:rPr>
          <w:sz w:val="28"/>
          <w:szCs w:val="28"/>
        </w:rPr>
      </w:pPr>
    </w:p>
    <w:p w:rsidR="0003161F" w:rsidRDefault="0003161F" w:rsidP="005F681C">
      <w:pPr>
        <w:rPr>
          <w:sz w:val="28"/>
          <w:szCs w:val="28"/>
        </w:rPr>
      </w:pPr>
    </w:p>
    <w:p w:rsidR="00F53F52" w:rsidRDefault="001573AB" w:rsidP="005F681C">
      <w:r w:rsidRPr="002C6F1A">
        <w:rPr>
          <w:b/>
          <w:bCs/>
        </w:rPr>
        <w:t>But </w:t>
      </w:r>
      <w:r>
        <w:rPr>
          <w:sz w:val="28"/>
          <w:szCs w:val="28"/>
        </w:rPr>
        <w:t xml:space="preserve">: </w:t>
      </w:r>
      <w:r w:rsidR="00F53F52">
        <w:t>Etudier l’effet des irradiations UV sur la croissance des levures.</w:t>
      </w:r>
    </w:p>
    <w:p w:rsidR="00F53F52" w:rsidRDefault="00F53F52" w:rsidP="005F681C"/>
    <w:p w:rsidR="004340FC" w:rsidRPr="002C6F1A" w:rsidRDefault="000866E8" w:rsidP="00412CB2">
      <w:pPr>
        <w:tabs>
          <w:tab w:val="left" w:pos="1095"/>
        </w:tabs>
        <w:rPr>
          <w:b/>
          <w:bCs/>
        </w:rPr>
      </w:pPr>
      <w:r w:rsidRPr="002C6F1A">
        <w:rPr>
          <w:b/>
          <w:bCs/>
        </w:rPr>
        <w:t xml:space="preserve">Principe : </w:t>
      </w:r>
    </w:p>
    <w:p w:rsidR="002C6F1A" w:rsidRPr="002C6F1A" w:rsidRDefault="002C6F1A" w:rsidP="00412CB2">
      <w:pPr>
        <w:tabs>
          <w:tab w:val="left" w:pos="1095"/>
        </w:tabs>
        <w:rPr>
          <w:b/>
          <w:bCs/>
        </w:rPr>
      </w:pPr>
    </w:p>
    <w:p w:rsidR="000866E8" w:rsidRDefault="000866E8" w:rsidP="00955A33">
      <w:pPr>
        <w:tabs>
          <w:tab w:val="left" w:pos="1095"/>
        </w:tabs>
        <w:jc w:val="both"/>
      </w:pPr>
      <w:r w:rsidRPr="00955A33">
        <w:t>Les UV engendrent des mutations sur des levures</w:t>
      </w:r>
      <w:r w:rsidR="002C6F1A" w:rsidRPr="00955A33">
        <w:t>.</w:t>
      </w:r>
      <w:r w:rsidRPr="00955A33">
        <w:t xml:space="preserve"> Une mutation peut entraîner un changement de couleur de la levure et aussi atteindre des gènes sur l'ADN nécessaires à la survie de la levure</w:t>
      </w:r>
      <w:r w:rsidR="00955A33" w:rsidRPr="00955A33">
        <w:t>. Les caractères phénotypiques liés au génotype se transmettent de génération en génération.</w:t>
      </w:r>
    </w:p>
    <w:p w:rsidR="006700E3" w:rsidRDefault="006700E3" w:rsidP="00955A33">
      <w:pPr>
        <w:tabs>
          <w:tab w:val="left" w:pos="1095"/>
        </w:tabs>
        <w:jc w:val="both"/>
      </w:pPr>
    </w:p>
    <w:p w:rsidR="00E61A64" w:rsidRDefault="006700E3" w:rsidP="00E61A64">
      <w:pPr>
        <w:tabs>
          <w:tab w:val="left" w:pos="1095"/>
        </w:tabs>
        <w:jc w:val="both"/>
        <w:rPr>
          <w:b/>
          <w:bCs/>
        </w:rPr>
      </w:pPr>
      <w:r w:rsidRPr="006700E3">
        <w:rPr>
          <w:b/>
          <w:bCs/>
        </w:rPr>
        <w:t xml:space="preserve">Mode opératoire : </w:t>
      </w:r>
    </w:p>
    <w:p w:rsidR="00C643BD" w:rsidRPr="00C643BD" w:rsidRDefault="00C643BD" w:rsidP="00C643BD">
      <w:pPr>
        <w:pStyle w:val="Paragraphedeliste"/>
        <w:shd w:val="clear" w:color="auto" w:fill="C2C2C6"/>
        <w:spacing w:before="100" w:beforeAutospacing="1" w:after="312" w:line="360" w:lineRule="auto"/>
        <w:rPr>
          <w:rFonts w:asciiTheme="majorBidi" w:hAnsiTheme="majorBidi" w:cstheme="majorBidi"/>
          <w:color w:val="000033"/>
        </w:rPr>
      </w:pPr>
    </w:p>
    <w:p w:rsidR="00E61A64" w:rsidRPr="004F5A12" w:rsidRDefault="00E61A64"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sidRPr="004F5A12">
        <w:rPr>
          <w:rFonts w:asciiTheme="majorBidi" w:hAnsiTheme="majorBidi" w:cstheme="majorBidi"/>
        </w:rPr>
        <w:t xml:space="preserve">Stériliser le plan de travail </w:t>
      </w:r>
      <w:r w:rsidRPr="004F5A12">
        <w:rPr>
          <w:rFonts w:asciiTheme="majorBidi" w:hAnsiTheme="majorBidi" w:cstheme="majorBidi"/>
          <w:color w:val="000033"/>
        </w:rPr>
        <w:t>afin que les levures se trouvent dans un milieu favorable à leur développement.</w:t>
      </w:r>
    </w:p>
    <w:p w:rsidR="004F5A12" w:rsidRDefault="004F5A12"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sidRPr="004F5A12">
        <w:rPr>
          <w:rFonts w:asciiTheme="majorBidi" w:hAnsiTheme="majorBidi" w:cstheme="majorBidi"/>
          <w:color w:val="000033"/>
        </w:rPr>
        <w:t>Liquéfier la gélose</w:t>
      </w:r>
      <w:r>
        <w:rPr>
          <w:rFonts w:asciiTheme="majorBidi" w:hAnsiTheme="majorBidi" w:cstheme="majorBidi"/>
          <w:color w:val="000033"/>
        </w:rPr>
        <w:t xml:space="preserve"> de Sabouraud.</w:t>
      </w:r>
    </w:p>
    <w:p w:rsidR="004F5A12" w:rsidRDefault="004F5A12"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Pr>
          <w:rFonts w:asciiTheme="majorBidi" w:hAnsiTheme="majorBidi" w:cstheme="majorBidi"/>
          <w:color w:val="000033"/>
        </w:rPr>
        <w:t>Répartition du milieu de culture (gélose) dans les boites de Pétri et le laisser refroidir devant le bec bunsen (boite semi-ouverte).</w:t>
      </w:r>
    </w:p>
    <w:p w:rsidR="00C643BD" w:rsidRDefault="00C643BD"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Pr>
          <w:rFonts w:asciiTheme="majorBidi" w:hAnsiTheme="majorBidi" w:cstheme="majorBidi"/>
          <w:color w:val="000033"/>
        </w:rPr>
        <w:t>Préparer la solution mère de levure ensuite des dilutions jusqu’à 10</w:t>
      </w:r>
      <w:r>
        <w:rPr>
          <w:rFonts w:asciiTheme="majorBidi" w:hAnsiTheme="majorBidi" w:cstheme="majorBidi"/>
          <w:color w:val="000033"/>
          <w:vertAlign w:val="superscript"/>
        </w:rPr>
        <w:t>-5</w:t>
      </w:r>
      <w:r>
        <w:rPr>
          <w:rFonts w:asciiTheme="majorBidi" w:hAnsiTheme="majorBidi" w:cstheme="majorBidi"/>
          <w:color w:val="000033"/>
        </w:rPr>
        <w:t>.</w:t>
      </w:r>
    </w:p>
    <w:p w:rsidR="00C643BD" w:rsidRPr="00F15B31" w:rsidRDefault="00C643BD" w:rsidP="00F15B31">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Pr>
          <w:rFonts w:asciiTheme="majorBidi" w:hAnsiTheme="majorBidi" w:cstheme="majorBidi"/>
          <w:color w:val="000033"/>
        </w:rPr>
        <w:t xml:space="preserve">Introduire dans chacune des boites </w:t>
      </w:r>
      <w:r w:rsidR="00F15B31">
        <w:rPr>
          <w:rFonts w:asciiTheme="majorBidi" w:hAnsiTheme="majorBidi" w:cstheme="majorBidi"/>
          <w:color w:val="000033"/>
        </w:rPr>
        <w:t>grâce à la pipette Pasteur 3 gouttes de la solution de levure diluée  10</w:t>
      </w:r>
      <w:r w:rsidR="00F15B31">
        <w:rPr>
          <w:rFonts w:asciiTheme="majorBidi" w:hAnsiTheme="majorBidi" w:cstheme="majorBidi"/>
          <w:color w:val="000033"/>
          <w:vertAlign w:val="superscript"/>
        </w:rPr>
        <w:t xml:space="preserve">-5 </w:t>
      </w:r>
      <w:r w:rsidR="00F15B31">
        <w:rPr>
          <w:rFonts w:asciiTheme="majorBidi" w:hAnsiTheme="majorBidi" w:cstheme="majorBidi"/>
          <w:color w:val="000033"/>
        </w:rPr>
        <w:t xml:space="preserve"> et ensemencer la surface à l’aide d’un étaleur.</w:t>
      </w:r>
    </w:p>
    <w:p w:rsidR="004F5A12" w:rsidRDefault="00F15B31"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Pr>
          <w:rFonts w:asciiTheme="majorBidi" w:hAnsiTheme="majorBidi" w:cstheme="majorBidi"/>
          <w:color w:val="000033"/>
        </w:rPr>
        <w:t xml:space="preserve">Exposer les boites ensemencées </w:t>
      </w:r>
      <w:r w:rsidR="00BA1989">
        <w:rPr>
          <w:rFonts w:asciiTheme="majorBidi" w:hAnsiTheme="majorBidi" w:cstheme="majorBidi"/>
          <w:color w:val="000033"/>
        </w:rPr>
        <w:t>sans leurs couvercles aux UV à des temps différents d’exposition sous une lampe à UV : 5 secondes, 10 s, 15s, 20s, 25s, 30s, 35s, 40s, 45s, 50s.  Sachant que le temps 0 seconde correspond aux témoins.</w:t>
      </w:r>
    </w:p>
    <w:p w:rsidR="00BA1989" w:rsidRDefault="00BA1989"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Pr>
          <w:rFonts w:asciiTheme="majorBidi" w:hAnsiTheme="majorBidi" w:cstheme="majorBidi"/>
          <w:color w:val="000033"/>
        </w:rPr>
        <w:t>Envelopper les boites exposées aux UV.</w:t>
      </w:r>
    </w:p>
    <w:p w:rsidR="00BA1989" w:rsidRPr="000F3F46" w:rsidRDefault="00BA1989" w:rsidP="004F5A12">
      <w:pPr>
        <w:pStyle w:val="Paragraphedeliste"/>
        <w:numPr>
          <w:ilvl w:val="0"/>
          <w:numId w:val="2"/>
        </w:numPr>
        <w:shd w:val="clear" w:color="auto" w:fill="C2C2C6"/>
        <w:spacing w:before="100" w:beforeAutospacing="1" w:after="312" w:line="360" w:lineRule="auto"/>
        <w:rPr>
          <w:rFonts w:asciiTheme="majorBidi" w:hAnsiTheme="majorBidi" w:cstheme="majorBidi"/>
          <w:color w:val="000033"/>
        </w:rPr>
      </w:pPr>
      <w:r w:rsidRPr="000F3F46">
        <w:rPr>
          <w:rFonts w:asciiTheme="majorBidi" w:hAnsiTheme="majorBidi" w:cstheme="majorBidi"/>
          <w:color w:val="000033"/>
        </w:rPr>
        <w:t>Incuber toutes les boites à l’</w:t>
      </w:r>
      <w:r w:rsidR="000F3F46" w:rsidRPr="000F3F46">
        <w:rPr>
          <w:rFonts w:asciiTheme="majorBidi" w:hAnsiTheme="majorBidi" w:cstheme="majorBidi"/>
          <w:color w:val="000033"/>
        </w:rPr>
        <w:t xml:space="preserve">étuve pendant 5 à 7 jours à </w:t>
      </w:r>
      <w:r w:rsidR="000F3F46" w:rsidRPr="000F3F46">
        <w:rPr>
          <w:rFonts w:asciiTheme="majorBidi" w:hAnsiTheme="majorBidi" w:cstheme="majorBidi"/>
          <w:color w:val="303030"/>
        </w:rPr>
        <w:t>30°C</w:t>
      </w:r>
      <w:r w:rsidR="000F3F46">
        <w:rPr>
          <w:rFonts w:asciiTheme="majorBidi" w:hAnsiTheme="majorBidi" w:cstheme="majorBidi"/>
          <w:color w:val="303030"/>
        </w:rPr>
        <w:t>.</w:t>
      </w:r>
    </w:p>
    <w:p w:rsidR="000F3F46" w:rsidRPr="000F3F46" w:rsidRDefault="000F3F46" w:rsidP="000F3F46">
      <w:pPr>
        <w:pStyle w:val="Paragraphedeliste"/>
        <w:shd w:val="clear" w:color="auto" w:fill="C2C2C6"/>
        <w:spacing w:before="100" w:beforeAutospacing="1" w:after="312" w:line="360" w:lineRule="auto"/>
        <w:rPr>
          <w:rFonts w:asciiTheme="majorBidi" w:hAnsiTheme="majorBidi" w:cstheme="majorBidi"/>
          <w:b/>
          <w:bCs/>
          <w:color w:val="303030"/>
        </w:rPr>
      </w:pPr>
      <w:r w:rsidRPr="000F3F46">
        <w:rPr>
          <w:rFonts w:asciiTheme="majorBidi" w:hAnsiTheme="majorBidi" w:cstheme="majorBidi"/>
          <w:b/>
          <w:bCs/>
          <w:color w:val="303030"/>
        </w:rPr>
        <w:t xml:space="preserve">Lecture : </w:t>
      </w:r>
    </w:p>
    <w:p w:rsidR="000F3F46" w:rsidRPr="000F3F46" w:rsidRDefault="000F3F46" w:rsidP="000F3F46">
      <w:pPr>
        <w:pStyle w:val="Paragraphedeliste"/>
        <w:shd w:val="clear" w:color="auto" w:fill="C2C2C6"/>
        <w:spacing w:before="100" w:beforeAutospacing="1" w:after="312" w:line="360" w:lineRule="auto"/>
        <w:rPr>
          <w:rFonts w:asciiTheme="majorBidi" w:hAnsiTheme="majorBidi" w:cstheme="majorBidi"/>
          <w:color w:val="000033"/>
        </w:rPr>
      </w:pPr>
      <w:r>
        <w:rPr>
          <w:rFonts w:asciiTheme="majorBidi" w:hAnsiTheme="majorBidi" w:cstheme="majorBidi"/>
          <w:color w:val="303030"/>
        </w:rPr>
        <w:t>Compter les colonies dans chacune des boites à l’aide d’un compteur de colonies et tracer la courbe de survie (le taux de viabilité des levures (le nombre de clone</w:t>
      </w:r>
      <w:r w:rsidR="006F46BF">
        <w:rPr>
          <w:rFonts w:asciiTheme="majorBidi" w:hAnsiTheme="majorBidi" w:cstheme="majorBidi"/>
          <w:color w:val="303030"/>
        </w:rPr>
        <w:t>s</w:t>
      </w:r>
      <w:r>
        <w:rPr>
          <w:rFonts w:asciiTheme="majorBidi" w:hAnsiTheme="majorBidi" w:cstheme="majorBidi"/>
          <w:color w:val="303030"/>
        </w:rPr>
        <w:t>) en fonction du temps d’exposition des levures aux UV).</w:t>
      </w:r>
    </w:p>
    <w:p w:rsidR="0082511D" w:rsidRDefault="00E61A64" w:rsidP="0082511D">
      <w:pPr>
        <w:pStyle w:val="Paragraphedeliste"/>
        <w:tabs>
          <w:tab w:val="left" w:pos="1095"/>
        </w:tabs>
        <w:jc w:val="both"/>
      </w:pPr>
      <w:r>
        <w:t xml:space="preserve"> </w:t>
      </w:r>
    </w:p>
    <w:p w:rsidR="00E61A64" w:rsidRPr="0082511D" w:rsidRDefault="00B21F39" w:rsidP="0082511D">
      <w:pPr>
        <w:pStyle w:val="Paragraphedeliste"/>
        <w:tabs>
          <w:tab w:val="left" w:pos="1095"/>
        </w:tabs>
        <w:jc w:val="both"/>
      </w:pPr>
      <w:r w:rsidRPr="00B21F39">
        <w:rPr>
          <w:b/>
          <w:bCs/>
        </w:rPr>
        <w:lastRenderedPageBreak/>
        <w:t xml:space="preserve">Les résultats observés : </w:t>
      </w:r>
    </w:p>
    <w:p w:rsidR="000D3C45" w:rsidRDefault="0082511D" w:rsidP="000D3C45">
      <w:pPr>
        <w:tabs>
          <w:tab w:val="left" w:pos="1095"/>
        </w:tabs>
        <w:spacing w:before="240"/>
        <w:jc w:val="both"/>
      </w:pPr>
      <w:r>
        <w:t xml:space="preserve">                 </w:t>
      </w:r>
      <w:r w:rsidR="00C96540">
        <w:t xml:space="preserve">On observe : </w:t>
      </w:r>
    </w:p>
    <w:p w:rsidR="000D3C45" w:rsidRDefault="000D3C45" w:rsidP="000D3C45">
      <w:pPr>
        <w:numPr>
          <w:ilvl w:val="0"/>
          <w:numId w:val="4"/>
        </w:numPr>
        <w:shd w:val="clear" w:color="auto" w:fill="FFFFFF"/>
        <w:spacing w:before="100" w:beforeAutospacing="1" w:after="100" w:afterAutospacing="1"/>
        <w:jc w:val="both"/>
        <w:rPr>
          <w:rFonts w:asciiTheme="majorBidi" w:hAnsiTheme="majorBidi" w:cstheme="majorBidi"/>
          <w:color w:val="303030"/>
        </w:rPr>
      </w:pPr>
      <w:r>
        <w:rPr>
          <w:rFonts w:asciiTheme="majorBidi" w:hAnsiTheme="majorBidi" w:cstheme="majorBidi"/>
          <w:color w:val="303030"/>
        </w:rPr>
        <w:t>Au temps 0 seconde lorsque la boite n’a pas été exposée aux UV, les levures se développent normalement et on observe des colonies. Car plus le temps d’exposition aux UV est important et plus les levures ont du mal à se développer</w:t>
      </w:r>
      <w:r w:rsidR="006E4A64">
        <w:rPr>
          <w:rFonts w:asciiTheme="majorBidi" w:hAnsiTheme="majorBidi" w:cstheme="majorBidi"/>
          <w:color w:val="303030"/>
        </w:rPr>
        <w:t>.</w:t>
      </w:r>
    </w:p>
    <w:p w:rsidR="00C96540" w:rsidRPr="00C96540" w:rsidRDefault="00C96540" w:rsidP="00C96540">
      <w:pPr>
        <w:numPr>
          <w:ilvl w:val="0"/>
          <w:numId w:val="4"/>
        </w:numPr>
        <w:shd w:val="clear" w:color="auto" w:fill="FFFFFF"/>
        <w:spacing w:before="100" w:beforeAutospacing="1" w:after="100" w:afterAutospacing="1"/>
        <w:jc w:val="both"/>
        <w:rPr>
          <w:rFonts w:asciiTheme="majorBidi" w:hAnsiTheme="majorBidi" w:cstheme="majorBidi"/>
          <w:color w:val="303030"/>
        </w:rPr>
      </w:pPr>
      <w:r w:rsidRPr="00C96540">
        <w:rPr>
          <w:rFonts w:asciiTheme="majorBidi" w:hAnsiTheme="majorBidi" w:cstheme="majorBidi"/>
          <w:color w:val="303030"/>
        </w:rPr>
        <w:t>Une diminution du nombre des clones (effet létal) au fur et à mesure que l’exposition aux UV est plus longue.</w:t>
      </w:r>
    </w:p>
    <w:p w:rsidR="00C96540" w:rsidRPr="00C96540" w:rsidRDefault="00C96540" w:rsidP="00C96540">
      <w:pPr>
        <w:numPr>
          <w:ilvl w:val="0"/>
          <w:numId w:val="4"/>
        </w:numPr>
        <w:shd w:val="clear" w:color="auto" w:fill="FFFFFF"/>
        <w:spacing w:before="100" w:beforeAutospacing="1" w:after="100" w:afterAutospacing="1"/>
        <w:jc w:val="both"/>
        <w:rPr>
          <w:rFonts w:asciiTheme="majorBidi" w:hAnsiTheme="majorBidi" w:cstheme="majorBidi"/>
          <w:color w:val="303030"/>
        </w:rPr>
      </w:pPr>
      <w:r w:rsidRPr="00C96540">
        <w:rPr>
          <w:rFonts w:asciiTheme="majorBidi" w:hAnsiTheme="majorBidi" w:cstheme="majorBidi"/>
          <w:color w:val="303030"/>
        </w:rPr>
        <w:t>Lorsque le nombre des clones diminue, leur diamètre s’accroît.</w:t>
      </w:r>
    </w:p>
    <w:p w:rsidR="00C96540" w:rsidRPr="00C96540" w:rsidRDefault="00C96540" w:rsidP="00C96540">
      <w:pPr>
        <w:numPr>
          <w:ilvl w:val="0"/>
          <w:numId w:val="4"/>
        </w:numPr>
        <w:shd w:val="clear" w:color="auto" w:fill="FFFFFF"/>
        <w:spacing w:before="100" w:beforeAutospacing="1" w:after="100" w:afterAutospacing="1"/>
        <w:jc w:val="both"/>
        <w:rPr>
          <w:rFonts w:asciiTheme="majorBidi" w:hAnsiTheme="majorBidi" w:cstheme="majorBidi"/>
          <w:color w:val="303030"/>
        </w:rPr>
      </w:pPr>
      <w:r w:rsidRPr="00C96540">
        <w:rPr>
          <w:rFonts w:asciiTheme="majorBidi" w:hAnsiTheme="majorBidi" w:cstheme="majorBidi"/>
          <w:color w:val="303030"/>
        </w:rPr>
        <w:t xml:space="preserve">Le pourcentage de clones </w:t>
      </w:r>
      <w:r>
        <w:rPr>
          <w:rFonts w:asciiTheme="majorBidi" w:hAnsiTheme="majorBidi" w:cstheme="majorBidi"/>
          <w:color w:val="303030"/>
        </w:rPr>
        <w:t>mutant</w:t>
      </w:r>
      <w:r w:rsidR="000B34F1">
        <w:rPr>
          <w:rFonts w:asciiTheme="majorBidi" w:hAnsiTheme="majorBidi" w:cstheme="majorBidi"/>
          <w:color w:val="303030"/>
        </w:rPr>
        <w:t>s</w:t>
      </w:r>
      <w:r>
        <w:rPr>
          <w:rFonts w:asciiTheme="majorBidi" w:hAnsiTheme="majorBidi" w:cstheme="majorBidi"/>
          <w:color w:val="303030"/>
        </w:rPr>
        <w:t xml:space="preserve"> (changement de couleur</w:t>
      </w:r>
      <w:r w:rsidR="000B34F1">
        <w:rPr>
          <w:rFonts w:asciiTheme="majorBidi" w:hAnsiTheme="majorBidi" w:cstheme="majorBidi"/>
          <w:color w:val="303030"/>
        </w:rPr>
        <w:t xml:space="preserve"> par exp</w:t>
      </w:r>
      <w:r>
        <w:rPr>
          <w:rFonts w:asciiTheme="majorBidi" w:hAnsiTheme="majorBidi" w:cstheme="majorBidi"/>
          <w:color w:val="303030"/>
        </w:rPr>
        <w:t>)</w:t>
      </w:r>
      <w:r w:rsidRPr="00C96540">
        <w:rPr>
          <w:rFonts w:asciiTheme="majorBidi" w:hAnsiTheme="majorBidi" w:cstheme="majorBidi"/>
          <w:color w:val="303030"/>
        </w:rPr>
        <w:t xml:space="preserve"> augmente avec la durée de l’exposition aux UV.</w:t>
      </w:r>
    </w:p>
    <w:p w:rsidR="00C96540" w:rsidRPr="00C96540" w:rsidRDefault="00C96540" w:rsidP="00C96540">
      <w:pPr>
        <w:tabs>
          <w:tab w:val="left" w:pos="1095"/>
        </w:tabs>
        <w:spacing w:before="240"/>
        <w:jc w:val="both"/>
      </w:pPr>
    </w:p>
    <w:sectPr w:rsidR="00C96540" w:rsidRPr="00C96540" w:rsidSect="000316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E6" w:rsidRDefault="003848E6" w:rsidP="00CC3A4F">
      <w:r>
        <w:separator/>
      </w:r>
    </w:p>
  </w:endnote>
  <w:endnote w:type="continuationSeparator" w:id="0">
    <w:p w:rsidR="003848E6" w:rsidRDefault="003848E6" w:rsidP="00CC3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4F" w:rsidRDefault="00CC3A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0302"/>
      <w:docPartObj>
        <w:docPartGallery w:val="Page Numbers (Bottom of Page)"/>
        <w:docPartUnique/>
      </w:docPartObj>
    </w:sdtPr>
    <w:sdtContent>
      <w:p w:rsidR="00CC3A4F" w:rsidRDefault="00255309">
        <w:pPr>
          <w:pStyle w:val="Pieddepage"/>
          <w:jc w:val="center"/>
        </w:pPr>
        <w:r>
          <w:fldChar w:fldCharType="begin"/>
        </w:r>
        <w:r w:rsidR="00CC3A4F">
          <w:instrText xml:space="preserve"> PAGE   \* MERGEFORMAT </w:instrText>
        </w:r>
        <w:r>
          <w:fldChar w:fldCharType="separate"/>
        </w:r>
        <w:r w:rsidR="00CE3493">
          <w:rPr>
            <w:noProof/>
          </w:rPr>
          <w:t>1</w:t>
        </w:r>
        <w:r>
          <w:fldChar w:fldCharType="end"/>
        </w:r>
      </w:p>
    </w:sdtContent>
  </w:sdt>
  <w:p w:rsidR="00CC3A4F" w:rsidRDefault="00CC3A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4F" w:rsidRDefault="00CC3A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E6" w:rsidRDefault="003848E6" w:rsidP="00CC3A4F">
      <w:r>
        <w:separator/>
      </w:r>
    </w:p>
  </w:footnote>
  <w:footnote w:type="continuationSeparator" w:id="0">
    <w:p w:rsidR="003848E6" w:rsidRDefault="003848E6" w:rsidP="00CC3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4F" w:rsidRDefault="00CC3A4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4F" w:rsidRDefault="00CC3A4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A4F" w:rsidRDefault="00CC3A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48C"/>
    <w:multiLevelType w:val="multilevel"/>
    <w:tmpl w:val="07D286F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A7667C3"/>
    <w:multiLevelType w:val="hybridMultilevel"/>
    <w:tmpl w:val="D212A2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3832E6"/>
    <w:multiLevelType w:val="hybridMultilevel"/>
    <w:tmpl w:val="B4444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E81773"/>
    <w:multiLevelType w:val="multilevel"/>
    <w:tmpl w:val="5874B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40F20"/>
    <w:rsid w:val="0003161F"/>
    <w:rsid w:val="000866E8"/>
    <w:rsid w:val="000B34F1"/>
    <w:rsid w:val="000C04E8"/>
    <w:rsid w:val="000D3C45"/>
    <w:rsid w:val="000F3F46"/>
    <w:rsid w:val="00116D8C"/>
    <w:rsid w:val="001573AB"/>
    <w:rsid w:val="00233BCA"/>
    <w:rsid w:val="00255309"/>
    <w:rsid w:val="002C6F1A"/>
    <w:rsid w:val="002D2615"/>
    <w:rsid w:val="0033053F"/>
    <w:rsid w:val="003848E6"/>
    <w:rsid w:val="003931AD"/>
    <w:rsid w:val="00412CB2"/>
    <w:rsid w:val="004340FC"/>
    <w:rsid w:val="004B5599"/>
    <w:rsid w:val="004F5A12"/>
    <w:rsid w:val="005F681C"/>
    <w:rsid w:val="00600278"/>
    <w:rsid w:val="006700E3"/>
    <w:rsid w:val="006E4A64"/>
    <w:rsid w:val="006F46BF"/>
    <w:rsid w:val="007735AF"/>
    <w:rsid w:val="007E7F69"/>
    <w:rsid w:val="0082511D"/>
    <w:rsid w:val="008775D0"/>
    <w:rsid w:val="008A6E13"/>
    <w:rsid w:val="00940F20"/>
    <w:rsid w:val="009523D8"/>
    <w:rsid w:val="00955A33"/>
    <w:rsid w:val="00B21F39"/>
    <w:rsid w:val="00BA1989"/>
    <w:rsid w:val="00C352ED"/>
    <w:rsid w:val="00C643BD"/>
    <w:rsid w:val="00C96540"/>
    <w:rsid w:val="00CC3A4F"/>
    <w:rsid w:val="00CD7479"/>
    <w:rsid w:val="00CE3493"/>
    <w:rsid w:val="00E61A64"/>
    <w:rsid w:val="00F15B31"/>
    <w:rsid w:val="00F53F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2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A64"/>
    <w:pPr>
      <w:ind w:left="720"/>
      <w:contextualSpacing/>
    </w:pPr>
  </w:style>
  <w:style w:type="paragraph" w:styleId="En-tte">
    <w:name w:val="header"/>
    <w:basedOn w:val="Normal"/>
    <w:link w:val="En-tteCar"/>
    <w:uiPriority w:val="99"/>
    <w:semiHidden/>
    <w:unhideWhenUsed/>
    <w:rsid w:val="00CC3A4F"/>
    <w:pPr>
      <w:tabs>
        <w:tab w:val="center" w:pos="4536"/>
        <w:tab w:val="right" w:pos="9072"/>
      </w:tabs>
    </w:pPr>
  </w:style>
  <w:style w:type="character" w:customStyle="1" w:styleId="En-tteCar">
    <w:name w:val="En-tête Car"/>
    <w:basedOn w:val="Policepardfaut"/>
    <w:link w:val="En-tte"/>
    <w:uiPriority w:val="99"/>
    <w:semiHidden/>
    <w:rsid w:val="00CC3A4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C3A4F"/>
    <w:pPr>
      <w:tabs>
        <w:tab w:val="center" w:pos="4536"/>
        <w:tab w:val="right" w:pos="9072"/>
      </w:tabs>
    </w:pPr>
  </w:style>
  <w:style w:type="character" w:customStyle="1" w:styleId="PieddepageCar">
    <w:name w:val="Pied de page Car"/>
    <w:basedOn w:val="Policepardfaut"/>
    <w:link w:val="Pieddepage"/>
    <w:uiPriority w:val="99"/>
    <w:rsid w:val="00CC3A4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225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2017-09-10T16:17:00Z</dcterms:created>
  <dcterms:modified xsi:type="dcterms:W3CDTF">2020-03-19T16:01:00Z</dcterms:modified>
</cp:coreProperties>
</file>